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hint="eastAsia" w:ascii="宋体" w:hAnsi="宋体" w:eastAsia="宋体"/>
        </w:rPr>
      </w:pPr>
      <w:r>
        <w:rPr>
          <w:rFonts w:hint="eastAsia" w:ascii="宋体" w:hAnsi="宋体" w:eastAsia="宋体"/>
        </w:rPr>
        <w:t>A12093《抵税财物鉴定（评估）委托书》</w:t>
      </w:r>
    </w:p>
    <w:p>
      <w:pPr>
        <w:pStyle w:val="9"/>
        <w:rPr>
          <w:color w:val="000000"/>
        </w:rPr>
      </w:pPr>
      <w:bookmarkStart w:id="0" w:name="_GoBack"/>
      <w:bookmarkEnd w:id="0"/>
      <w:r>
        <w:rPr>
          <w:rFonts w:hint="eastAsia"/>
          <w:b w:val="0"/>
          <w:bCs w:val="0"/>
          <w:color w:val="000000"/>
          <w:spacing w:val="20"/>
        </w:rPr>
        <w:t>抵税财物鉴定（评估）委托书</w:t>
      </w:r>
    </w:p>
    <w:p>
      <w:pPr>
        <w:pStyle w:val="10"/>
        <w:spacing w:before="80"/>
        <w:jc w:val="center"/>
        <w:rPr>
          <w:color w:val="000000"/>
          <w:sz w:val="21"/>
          <w:szCs w:val="22"/>
        </w:rPr>
      </w:pPr>
      <w:r>
        <w:rPr>
          <w:rFonts w:hint="eastAsia" w:ascii="仿宋_GB2312" w:eastAsia="仿宋_GB2312"/>
          <w:color w:val="000000"/>
          <w:sz w:val="32"/>
          <w:szCs w:val="32"/>
        </w:rPr>
        <w:t>税〔    〕  号</w:t>
      </w:r>
    </w:p>
    <w:p>
      <w:pPr>
        <w:pStyle w:val="10"/>
        <w:rPr>
          <w:color w:val="000000"/>
          <w:sz w:val="21"/>
          <w:szCs w:val="22"/>
        </w:rPr>
      </w:pPr>
      <w:r>
        <w:rPr>
          <w:rFonts w:hint="eastAsia" w:ascii="宋体" w:hAnsi="宋体"/>
          <w:b/>
          <w:bCs/>
          <w:color w:val="000000"/>
          <w:sz w:val="44"/>
          <w:szCs w:val="44"/>
          <w:u w:val="single"/>
        </w:rPr>
        <w:t>             </w:t>
      </w:r>
      <w:r>
        <w:rPr>
          <w:rFonts w:hint="eastAsia" w:ascii="宋体" w:hAnsi="宋体"/>
          <w:b/>
          <w:bCs/>
          <w:color w:val="000000"/>
          <w:sz w:val="44"/>
          <w:szCs w:val="44"/>
        </w:rPr>
        <w:t>：</w:t>
      </w:r>
    </w:p>
    <w:p>
      <w:pPr>
        <w:pStyle w:val="10"/>
        <w:spacing w:before="80"/>
        <w:ind w:firstLine="640"/>
        <w:rPr>
          <w:color w:val="000000"/>
          <w:sz w:val="21"/>
          <w:szCs w:val="22"/>
        </w:rPr>
      </w:pPr>
      <w:r>
        <w:rPr>
          <w:rFonts w:hint="eastAsia" w:ascii="仿宋_GB2312" w:eastAsia="仿宋_GB2312"/>
          <w:color w:val="000000"/>
          <w:sz w:val="32"/>
          <w:szCs w:val="32"/>
        </w:rPr>
        <w:t>根据</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规定，我局拟将扣押（查封）的下列抵财物实施拍卖变卖，现委托你单位对下列物品进行质量鉴定和价格评估：</w:t>
      </w:r>
    </w:p>
    <w:tbl>
      <w:tblPr>
        <w:tblStyle w:val="2"/>
        <w:tblW w:w="8362" w:type="dxa"/>
        <w:tblInd w:w="0" w:type="dxa"/>
        <w:tblLayout w:type="fixed"/>
        <w:tblCellMar>
          <w:top w:w="0" w:type="dxa"/>
          <w:left w:w="0" w:type="dxa"/>
          <w:bottom w:w="0" w:type="dxa"/>
          <w:right w:w="0" w:type="dxa"/>
        </w:tblCellMar>
      </w:tblPr>
      <w:tblGrid>
        <w:gridCol w:w="2886"/>
        <w:gridCol w:w="1804"/>
        <w:gridCol w:w="1983"/>
        <w:gridCol w:w="1689"/>
      </w:tblGrid>
      <w:tr>
        <w:tblPrEx>
          <w:tblLayout w:type="fixed"/>
          <w:tblCellMar>
            <w:top w:w="0" w:type="dxa"/>
            <w:left w:w="0" w:type="dxa"/>
            <w:bottom w:w="0" w:type="dxa"/>
            <w:right w:w="0" w:type="dxa"/>
          </w:tblCellMar>
        </w:tblPrEx>
        <w:trPr>
          <w:trHeight w:val="454" w:hRule="atLeast"/>
        </w:trPr>
        <w:tc>
          <w:tcPr>
            <w:tcW w:w="2886" w:type="dxa"/>
            <w:tcBorders>
              <w:top w:val="single" w:color="auto" w:sz="12" w:space="0"/>
              <w:left w:val="single" w:color="auto" w:sz="12" w:space="0"/>
              <w:bottom w:val="single" w:color="auto" w:sz="8" w:space="0"/>
              <w:right w:val="single" w:color="auto" w:sz="8" w:space="0"/>
            </w:tcBorders>
            <w:noWrap w:val="0"/>
            <w:tcMar>
              <w:top w:w="0" w:type="dxa"/>
              <w:left w:w="28" w:type="dxa"/>
              <w:bottom w:w="0" w:type="dxa"/>
              <w:right w:w="28" w:type="dxa"/>
            </w:tcMar>
            <w:vAlign w:val="center"/>
          </w:tcPr>
          <w:p>
            <w:pPr>
              <w:pStyle w:val="10"/>
              <w:widowControl w:val="0"/>
              <w:spacing w:line="360" w:lineRule="auto"/>
              <w:ind w:left="425" w:hanging="425"/>
              <w:jc w:val="center"/>
              <w:rPr>
                <w:color w:val="000000"/>
                <w:sz w:val="21"/>
                <w:szCs w:val="21"/>
              </w:rPr>
            </w:pPr>
            <w:r>
              <w:rPr>
                <w:rFonts w:hint="eastAsia" w:ascii="仿宋_GB2312" w:eastAsia="仿宋_GB2312"/>
                <w:b/>
                <w:bCs/>
                <w:color w:val="000000"/>
                <w:sz w:val="28"/>
                <w:szCs w:val="28"/>
              </w:rPr>
              <w:t>财产名称</w:t>
            </w:r>
          </w:p>
        </w:tc>
        <w:tc>
          <w:tcPr>
            <w:tcW w:w="1804" w:type="dxa"/>
            <w:tcBorders>
              <w:top w:val="single" w:color="auto" w:sz="12" w:space="0"/>
              <w:left w:val="nil"/>
              <w:bottom w:val="single" w:color="auto" w:sz="8" w:space="0"/>
              <w:right w:val="single" w:color="auto" w:sz="8" w:space="0"/>
            </w:tcBorders>
            <w:noWrap w:val="0"/>
            <w:tcMar>
              <w:top w:w="0" w:type="dxa"/>
              <w:left w:w="28" w:type="dxa"/>
              <w:bottom w:w="0" w:type="dxa"/>
              <w:right w:w="28" w:type="dxa"/>
            </w:tcMar>
            <w:vAlign w:val="center"/>
          </w:tcPr>
          <w:p>
            <w:pPr>
              <w:pStyle w:val="10"/>
              <w:widowControl w:val="0"/>
              <w:spacing w:line="360" w:lineRule="auto"/>
              <w:ind w:left="425" w:hanging="425"/>
              <w:jc w:val="center"/>
              <w:rPr>
                <w:color w:val="000000"/>
                <w:sz w:val="21"/>
                <w:szCs w:val="21"/>
              </w:rPr>
            </w:pPr>
            <w:r>
              <w:rPr>
                <w:rFonts w:hint="eastAsia" w:ascii="仿宋_GB2312" w:eastAsia="仿宋_GB2312"/>
                <w:b/>
                <w:bCs/>
                <w:color w:val="000000"/>
                <w:sz w:val="28"/>
                <w:szCs w:val="28"/>
              </w:rPr>
              <w:t>单位</w:t>
            </w:r>
          </w:p>
        </w:tc>
        <w:tc>
          <w:tcPr>
            <w:tcW w:w="1983" w:type="dxa"/>
            <w:tcBorders>
              <w:top w:val="single" w:color="auto" w:sz="12" w:space="0"/>
              <w:left w:val="nil"/>
              <w:bottom w:val="single" w:color="auto" w:sz="8" w:space="0"/>
              <w:right w:val="single" w:color="auto" w:sz="8" w:space="0"/>
            </w:tcBorders>
            <w:noWrap w:val="0"/>
            <w:tcMar>
              <w:top w:w="0" w:type="dxa"/>
              <w:left w:w="28" w:type="dxa"/>
              <w:bottom w:w="0" w:type="dxa"/>
              <w:right w:w="28" w:type="dxa"/>
            </w:tcMar>
            <w:vAlign w:val="center"/>
          </w:tcPr>
          <w:p>
            <w:pPr>
              <w:pStyle w:val="10"/>
              <w:widowControl w:val="0"/>
              <w:spacing w:line="360" w:lineRule="auto"/>
              <w:ind w:left="425" w:hanging="425"/>
              <w:jc w:val="center"/>
              <w:rPr>
                <w:color w:val="000000"/>
                <w:sz w:val="21"/>
                <w:szCs w:val="21"/>
              </w:rPr>
            </w:pPr>
            <w:r>
              <w:rPr>
                <w:rFonts w:hint="eastAsia" w:ascii="仿宋_GB2312" w:eastAsia="仿宋_GB2312"/>
                <w:b/>
                <w:bCs/>
                <w:color w:val="000000"/>
                <w:sz w:val="28"/>
                <w:szCs w:val="28"/>
              </w:rPr>
              <w:t>数量</w:t>
            </w:r>
          </w:p>
        </w:tc>
        <w:tc>
          <w:tcPr>
            <w:tcW w:w="1689" w:type="dxa"/>
            <w:tcBorders>
              <w:top w:val="single" w:color="auto" w:sz="12" w:space="0"/>
              <w:left w:val="nil"/>
              <w:bottom w:val="single" w:color="auto" w:sz="8" w:space="0"/>
              <w:right w:val="single" w:color="auto" w:sz="12" w:space="0"/>
            </w:tcBorders>
            <w:noWrap w:val="0"/>
            <w:tcMar>
              <w:top w:w="0" w:type="dxa"/>
              <w:left w:w="28" w:type="dxa"/>
              <w:bottom w:w="0" w:type="dxa"/>
              <w:right w:w="28" w:type="dxa"/>
            </w:tcMar>
            <w:vAlign w:val="center"/>
          </w:tcPr>
          <w:p>
            <w:pPr>
              <w:pStyle w:val="10"/>
              <w:widowControl w:val="0"/>
              <w:spacing w:line="360" w:lineRule="auto"/>
              <w:ind w:left="425" w:hanging="425"/>
              <w:jc w:val="center"/>
              <w:rPr>
                <w:color w:val="000000"/>
                <w:sz w:val="21"/>
                <w:szCs w:val="21"/>
              </w:rPr>
            </w:pPr>
            <w:r>
              <w:rPr>
                <w:rFonts w:hint="eastAsia" w:ascii="仿宋_GB2312" w:eastAsia="仿宋_GB2312"/>
                <w:b/>
                <w:bCs/>
                <w:color w:val="000000"/>
                <w:sz w:val="28"/>
                <w:szCs w:val="28"/>
              </w:rPr>
              <w:t>备注</w:t>
            </w:r>
          </w:p>
        </w:tc>
      </w:tr>
      <w:tr>
        <w:tblPrEx>
          <w:tblLayout w:type="fixed"/>
          <w:tblCellMar>
            <w:top w:w="0" w:type="dxa"/>
            <w:left w:w="0" w:type="dxa"/>
            <w:bottom w:w="0" w:type="dxa"/>
            <w:right w:w="0" w:type="dxa"/>
          </w:tblCellMar>
        </w:tblPrEx>
        <w:trPr>
          <w:trHeight w:val="454" w:hRule="atLeast"/>
        </w:trPr>
        <w:tc>
          <w:tcPr>
            <w:tcW w:w="2886" w:type="dxa"/>
            <w:tcBorders>
              <w:top w:val="nil"/>
              <w:left w:val="single" w:color="auto" w:sz="12" w:space="0"/>
              <w:bottom w:val="single" w:color="auto" w:sz="8" w:space="0"/>
              <w:right w:val="single" w:color="auto" w:sz="8" w:space="0"/>
            </w:tcBorders>
            <w:noWrap w:val="0"/>
            <w:tcMar>
              <w:top w:w="0" w:type="dxa"/>
              <w:left w:w="28" w:type="dxa"/>
              <w:bottom w:w="0" w:type="dxa"/>
              <w:right w:w="28" w:type="dxa"/>
            </w:tcMar>
            <w:vAlign w:val="center"/>
          </w:tcPr>
          <w:p>
            <w:pPr>
              <w:pStyle w:val="10"/>
              <w:widowControl w:val="0"/>
              <w:spacing w:line="360" w:lineRule="auto"/>
              <w:ind w:left="425" w:hanging="425"/>
              <w:jc w:val="center"/>
              <w:rPr>
                <w:color w:val="000000"/>
                <w:sz w:val="21"/>
                <w:szCs w:val="21"/>
              </w:rPr>
            </w:pPr>
            <w:r>
              <w:rPr>
                <w:rFonts w:hint="eastAsia" w:ascii="仿宋_GB2312" w:eastAsia="仿宋_GB2312"/>
                <w:b/>
                <w:bCs/>
                <w:color w:val="000000"/>
                <w:sz w:val="28"/>
                <w:szCs w:val="28"/>
              </w:rPr>
              <w:t> </w:t>
            </w:r>
          </w:p>
        </w:tc>
        <w:tc>
          <w:tcPr>
            <w:tcW w:w="1804" w:type="dxa"/>
            <w:tcBorders>
              <w:top w:val="nil"/>
              <w:left w:val="nil"/>
              <w:bottom w:val="single" w:color="auto" w:sz="8" w:space="0"/>
              <w:right w:val="single" w:color="auto" w:sz="8" w:space="0"/>
            </w:tcBorders>
            <w:noWrap w:val="0"/>
            <w:tcMar>
              <w:top w:w="0" w:type="dxa"/>
              <w:left w:w="28" w:type="dxa"/>
              <w:bottom w:w="0" w:type="dxa"/>
              <w:right w:w="28" w:type="dxa"/>
            </w:tcMar>
            <w:vAlign w:val="center"/>
          </w:tcPr>
          <w:p>
            <w:pPr>
              <w:pStyle w:val="10"/>
              <w:widowControl w:val="0"/>
              <w:spacing w:line="360" w:lineRule="auto"/>
              <w:ind w:left="425" w:hanging="425"/>
              <w:jc w:val="center"/>
              <w:rPr>
                <w:color w:val="000000"/>
                <w:sz w:val="21"/>
                <w:szCs w:val="21"/>
              </w:rPr>
            </w:pPr>
            <w:r>
              <w:rPr>
                <w:rFonts w:hint="eastAsia" w:ascii="仿宋_GB2312" w:eastAsia="仿宋_GB2312"/>
                <w:b/>
                <w:bCs/>
                <w:color w:val="000000"/>
                <w:sz w:val="28"/>
                <w:szCs w:val="28"/>
              </w:rPr>
              <w:t> </w:t>
            </w:r>
          </w:p>
        </w:tc>
        <w:tc>
          <w:tcPr>
            <w:tcW w:w="1983" w:type="dxa"/>
            <w:tcBorders>
              <w:top w:val="nil"/>
              <w:left w:val="nil"/>
              <w:bottom w:val="single" w:color="auto" w:sz="8" w:space="0"/>
              <w:right w:val="single" w:color="auto" w:sz="8" w:space="0"/>
            </w:tcBorders>
            <w:noWrap w:val="0"/>
            <w:tcMar>
              <w:top w:w="0" w:type="dxa"/>
              <w:left w:w="28" w:type="dxa"/>
              <w:bottom w:w="0" w:type="dxa"/>
              <w:right w:w="28" w:type="dxa"/>
            </w:tcMar>
            <w:vAlign w:val="center"/>
          </w:tcPr>
          <w:p>
            <w:pPr>
              <w:pStyle w:val="10"/>
              <w:widowControl w:val="0"/>
              <w:spacing w:line="360" w:lineRule="auto"/>
              <w:ind w:left="425" w:hanging="425"/>
              <w:jc w:val="center"/>
              <w:rPr>
                <w:color w:val="000000"/>
                <w:sz w:val="21"/>
                <w:szCs w:val="21"/>
              </w:rPr>
            </w:pPr>
            <w:r>
              <w:rPr>
                <w:rFonts w:hint="eastAsia" w:ascii="仿宋_GB2312" w:eastAsia="仿宋_GB2312"/>
                <w:b/>
                <w:bCs/>
                <w:color w:val="000000"/>
                <w:sz w:val="28"/>
                <w:szCs w:val="28"/>
              </w:rPr>
              <w:t> </w:t>
            </w:r>
          </w:p>
        </w:tc>
        <w:tc>
          <w:tcPr>
            <w:tcW w:w="1689" w:type="dxa"/>
            <w:tcBorders>
              <w:top w:val="nil"/>
              <w:left w:val="nil"/>
              <w:bottom w:val="single" w:color="auto" w:sz="8" w:space="0"/>
              <w:right w:val="single" w:color="auto" w:sz="12" w:space="0"/>
            </w:tcBorders>
            <w:noWrap w:val="0"/>
            <w:tcMar>
              <w:top w:w="0" w:type="dxa"/>
              <w:left w:w="28" w:type="dxa"/>
              <w:bottom w:w="0" w:type="dxa"/>
              <w:right w:w="28" w:type="dxa"/>
            </w:tcMar>
            <w:vAlign w:val="center"/>
          </w:tcPr>
          <w:p>
            <w:pPr>
              <w:pStyle w:val="10"/>
              <w:widowControl w:val="0"/>
              <w:spacing w:line="360" w:lineRule="auto"/>
              <w:ind w:left="425" w:hanging="425"/>
              <w:jc w:val="center"/>
              <w:rPr>
                <w:color w:val="000000"/>
                <w:sz w:val="21"/>
                <w:szCs w:val="21"/>
              </w:rPr>
            </w:pPr>
            <w:r>
              <w:rPr>
                <w:rFonts w:hint="eastAsia" w:ascii="仿宋_GB2312" w:eastAsia="仿宋_GB2312"/>
                <w:b/>
                <w:bCs/>
                <w:color w:val="000000"/>
                <w:sz w:val="28"/>
                <w:szCs w:val="28"/>
              </w:rPr>
              <w:t> </w:t>
            </w:r>
          </w:p>
        </w:tc>
      </w:tr>
      <w:tr>
        <w:tblPrEx>
          <w:tblLayout w:type="fixed"/>
          <w:tblCellMar>
            <w:top w:w="0" w:type="dxa"/>
            <w:left w:w="0" w:type="dxa"/>
            <w:bottom w:w="0" w:type="dxa"/>
            <w:right w:w="0" w:type="dxa"/>
          </w:tblCellMar>
        </w:tblPrEx>
        <w:trPr>
          <w:trHeight w:val="454" w:hRule="atLeast"/>
        </w:trPr>
        <w:tc>
          <w:tcPr>
            <w:tcW w:w="2886" w:type="dxa"/>
            <w:tcBorders>
              <w:top w:val="nil"/>
              <w:left w:val="single" w:color="auto" w:sz="12" w:space="0"/>
              <w:bottom w:val="single" w:color="auto" w:sz="8" w:space="0"/>
              <w:right w:val="single" w:color="auto" w:sz="8" w:space="0"/>
            </w:tcBorders>
            <w:noWrap w:val="0"/>
            <w:tcMar>
              <w:top w:w="0" w:type="dxa"/>
              <w:left w:w="28" w:type="dxa"/>
              <w:bottom w:w="0" w:type="dxa"/>
              <w:right w:w="28" w:type="dxa"/>
            </w:tcMar>
            <w:vAlign w:val="center"/>
          </w:tcPr>
          <w:p>
            <w:pPr>
              <w:pStyle w:val="10"/>
              <w:widowControl w:val="0"/>
              <w:spacing w:line="360" w:lineRule="auto"/>
              <w:ind w:left="425" w:hanging="425"/>
              <w:jc w:val="center"/>
              <w:rPr>
                <w:color w:val="000000"/>
                <w:sz w:val="21"/>
                <w:szCs w:val="21"/>
              </w:rPr>
            </w:pPr>
            <w:r>
              <w:rPr>
                <w:rFonts w:hint="eastAsia" w:ascii="仿宋_GB2312" w:eastAsia="仿宋_GB2312"/>
                <w:b/>
                <w:bCs/>
                <w:color w:val="000000"/>
                <w:sz w:val="28"/>
                <w:szCs w:val="28"/>
              </w:rPr>
              <w:t> </w:t>
            </w:r>
          </w:p>
        </w:tc>
        <w:tc>
          <w:tcPr>
            <w:tcW w:w="1804" w:type="dxa"/>
            <w:tcBorders>
              <w:top w:val="nil"/>
              <w:left w:val="nil"/>
              <w:bottom w:val="single" w:color="auto" w:sz="8" w:space="0"/>
              <w:right w:val="single" w:color="auto" w:sz="8" w:space="0"/>
            </w:tcBorders>
            <w:noWrap w:val="0"/>
            <w:tcMar>
              <w:top w:w="0" w:type="dxa"/>
              <w:left w:w="28" w:type="dxa"/>
              <w:bottom w:w="0" w:type="dxa"/>
              <w:right w:w="28" w:type="dxa"/>
            </w:tcMar>
            <w:vAlign w:val="center"/>
          </w:tcPr>
          <w:p>
            <w:pPr>
              <w:pStyle w:val="10"/>
              <w:widowControl w:val="0"/>
              <w:spacing w:line="360" w:lineRule="auto"/>
              <w:ind w:left="425" w:hanging="425"/>
              <w:jc w:val="center"/>
              <w:rPr>
                <w:color w:val="000000"/>
                <w:sz w:val="21"/>
                <w:szCs w:val="21"/>
              </w:rPr>
            </w:pPr>
            <w:r>
              <w:rPr>
                <w:rFonts w:hint="eastAsia" w:ascii="仿宋_GB2312" w:eastAsia="仿宋_GB2312"/>
                <w:b/>
                <w:bCs/>
                <w:color w:val="000000"/>
                <w:sz w:val="28"/>
                <w:szCs w:val="28"/>
              </w:rPr>
              <w:t> </w:t>
            </w:r>
          </w:p>
        </w:tc>
        <w:tc>
          <w:tcPr>
            <w:tcW w:w="1983" w:type="dxa"/>
            <w:tcBorders>
              <w:top w:val="nil"/>
              <w:left w:val="nil"/>
              <w:bottom w:val="single" w:color="auto" w:sz="8" w:space="0"/>
              <w:right w:val="single" w:color="auto" w:sz="8" w:space="0"/>
            </w:tcBorders>
            <w:noWrap w:val="0"/>
            <w:tcMar>
              <w:top w:w="0" w:type="dxa"/>
              <w:left w:w="28" w:type="dxa"/>
              <w:bottom w:w="0" w:type="dxa"/>
              <w:right w:w="28" w:type="dxa"/>
            </w:tcMar>
            <w:vAlign w:val="center"/>
          </w:tcPr>
          <w:p>
            <w:pPr>
              <w:pStyle w:val="10"/>
              <w:widowControl w:val="0"/>
              <w:spacing w:line="360" w:lineRule="auto"/>
              <w:ind w:left="425" w:hanging="425"/>
              <w:jc w:val="center"/>
              <w:rPr>
                <w:color w:val="000000"/>
                <w:sz w:val="21"/>
                <w:szCs w:val="21"/>
              </w:rPr>
            </w:pPr>
            <w:r>
              <w:rPr>
                <w:rFonts w:hint="eastAsia" w:ascii="仿宋_GB2312" w:eastAsia="仿宋_GB2312"/>
                <w:b/>
                <w:bCs/>
                <w:color w:val="000000"/>
                <w:sz w:val="28"/>
                <w:szCs w:val="28"/>
              </w:rPr>
              <w:t> </w:t>
            </w:r>
          </w:p>
        </w:tc>
        <w:tc>
          <w:tcPr>
            <w:tcW w:w="1689" w:type="dxa"/>
            <w:tcBorders>
              <w:top w:val="nil"/>
              <w:left w:val="nil"/>
              <w:bottom w:val="single" w:color="auto" w:sz="8" w:space="0"/>
              <w:right w:val="single" w:color="auto" w:sz="12" w:space="0"/>
            </w:tcBorders>
            <w:noWrap w:val="0"/>
            <w:tcMar>
              <w:top w:w="0" w:type="dxa"/>
              <w:left w:w="28" w:type="dxa"/>
              <w:bottom w:w="0" w:type="dxa"/>
              <w:right w:w="28" w:type="dxa"/>
            </w:tcMar>
            <w:vAlign w:val="center"/>
          </w:tcPr>
          <w:p>
            <w:pPr>
              <w:pStyle w:val="10"/>
              <w:widowControl w:val="0"/>
              <w:spacing w:line="360" w:lineRule="auto"/>
              <w:ind w:left="425" w:hanging="425"/>
              <w:jc w:val="center"/>
              <w:rPr>
                <w:color w:val="000000"/>
                <w:sz w:val="21"/>
                <w:szCs w:val="21"/>
              </w:rPr>
            </w:pPr>
            <w:r>
              <w:rPr>
                <w:rFonts w:hint="eastAsia" w:ascii="仿宋_GB2312" w:eastAsia="仿宋_GB2312"/>
                <w:b/>
                <w:bCs/>
                <w:color w:val="000000"/>
                <w:sz w:val="28"/>
                <w:szCs w:val="28"/>
              </w:rPr>
              <w:t> </w:t>
            </w:r>
          </w:p>
        </w:tc>
      </w:tr>
      <w:tr>
        <w:tblPrEx>
          <w:tblLayout w:type="fixed"/>
          <w:tblCellMar>
            <w:top w:w="0" w:type="dxa"/>
            <w:left w:w="0" w:type="dxa"/>
            <w:bottom w:w="0" w:type="dxa"/>
            <w:right w:w="0" w:type="dxa"/>
          </w:tblCellMar>
        </w:tblPrEx>
        <w:trPr>
          <w:trHeight w:val="454" w:hRule="atLeast"/>
        </w:trPr>
        <w:tc>
          <w:tcPr>
            <w:tcW w:w="2886" w:type="dxa"/>
            <w:tcBorders>
              <w:top w:val="nil"/>
              <w:left w:val="single" w:color="auto" w:sz="12" w:space="0"/>
              <w:bottom w:val="single" w:color="auto" w:sz="12" w:space="0"/>
              <w:right w:val="single" w:color="auto" w:sz="8" w:space="0"/>
            </w:tcBorders>
            <w:noWrap w:val="0"/>
            <w:tcMar>
              <w:top w:w="0" w:type="dxa"/>
              <w:left w:w="28" w:type="dxa"/>
              <w:bottom w:w="0" w:type="dxa"/>
              <w:right w:w="28" w:type="dxa"/>
            </w:tcMar>
            <w:vAlign w:val="center"/>
          </w:tcPr>
          <w:p>
            <w:pPr>
              <w:pStyle w:val="10"/>
              <w:widowControl w:val="0"/>
              <w:spacing w:line="360" w:lineRule="auto"/>
              <w:ind w:left="425" w:hanging="425"/>
              <w:jc w:val="center"/>
              <w:rPr>
                <w:color w:val="000000"/>
                <w:sz w:val="21"/>
                <w:szCs w:val="21"/>
              </w:rPr>
            </w:pPr>
            <w:r>
              <w:rPr>
                <w:rFonts w:hint="eastAsia" w:ascii="仿宋_GB2312" w:eastAsia="仿宋_GB2312"/>
                <w:b/>
                <w:bCs/>
                <w:color w:val="000000"/>
                <w:sz w:val="28"/>
                <w:szCs w:val="28"/>
              </w:rPr>
              <w:t> </w:t>
            </w:r>
          </w:p>
        </w:tc>
        <w:tc>
          <w:tcPr>
            <w:tcW w:w="1804" w:type="dxa"/>
            <w:tcBorders>
              <w:top w:val="nil"/>
              <w:left w:val="nil"/>
              <w:bottom w:val="single" w:color="auto" w:sz="12" w:space="0"/>
              <w:right w:val="single" w:color="auto" w:sz="8" w:space="0"/>
            </w:tcBorders>
            <w:noWrap w:val="0"/>
            <w:tcMar>
              <w:top w:w="0" w:type="dxa"/>
              <w:left w:w="28" w:type="dxa"/>
              <w:bottom w:w="0" w:type="dxa"/>
              <w:right w:w="28" w:type="dxa"/>
            </w:tcMar>
            <w:vAlign w:val="center"/>
          </w:tcPr>
          <w:p>
            <w:pPr>
              <w:pStyle w:val="10"/>
              <w:widowControl w:val="0"/>
              <w:spacing w:line="360" w:lineRule="auto"/>
              <w:ind w:left="425" w:hanging="425"/>
              <w:jc w:val="center"/>
              <w:rPr>
                <w:color w:val="000000"/>
                <w:sz w:val="21"/>
                <w:szCs w:val="21"/>
              </w:rPr>
            </w:pPr>
            <w:r>
              <w:rPr>
                <w:rFonts w:hint="eastAsia" w:ascii="仿宋_GB2312" w:eastAsia="仿宋_GB2312"/>
                <w:b/>
                <w:bCs/>
                <w:color w:val="000000"/>
                <w:sz w:val="28"/>
                <w:szCs w:val="28"/>
              </w:rPr>
              <w:t> </w:t>
            </w:r>
          </w:p>
        </w:tc>
        <w:tc>
          <w:tcPr>
            <w:tcW w:w="1983" w:type="dxa"/>
            <w:tcBorders>
              <w:top w:val="nil"/>
              <w:left w:val="nil"/>
              <w:bottom w:val="single" w:color="auto" w:sz="12" w:space="0"/>
              <w:right w:val="single" w:color="auto" w:sz="8" w:space="0"/>
            </w:tcBorders>
            <w:noWrap w:val="0"/>
            <w:tcMar>
              <w:top w:w="0" w:type="dxa"/>
              <w:left w:w="28" w:type="dxa"/>
              <w:bottom w:w="0" w:type="dxa"/>
              <w:right w:w="28" w:type="dxa"/>
            </w:tcMar>
            <w:vAlign w:val="center"/>
          </w:tcPr>
          <w:p>
            <w:pPr>
              <w:pStyle w:val="10"/>
              <w:widowControl w:val="0"/>
              <w:spacing w:line="360" w:lineRule="auto"/>
              <w:ind w:left="425" w:hanging="425"/>
              <w:jc w:val="center"/>
              <w:rPr>
                <w:color w:val="000000"/>
                <w:sz w:val="21"/>
                <w:szCs w:val="21"/>
              </w:rPr>
            </w:pPr>
            <w:r>
              <w:rPr>
                <w:rFonts w:hint="eastAsia" w:ascii="仿宋_GB2312" w:eastAsia="仿宋_GB2312"/>
                <w:b/>
                <w:bCs/>
                <w:color w:val="000000"/>
                <w:sz w:val="28"/>
                <w:szCs w:val="28"/>
              </w:rPr>
              <w:t> </w:t>
            </w:r>
          </w:p>
        </w:tc>
        <w:tc>
          <w:tcPr>
            <w:tcW w:w="1689" w:type="dxa"/>
            <w:tcBorders>
              <w:top w:val="nil"/>
              <w:left w:val="nil"/>
              <w:bottom w:val="single" w:color="auto" w:sz="12" w:space="0"/>
              <w:right w:val="single" w:color="auto" w:sz="12" w:space="0"/>
            </w:tcBorders>
            <w:noWrap w:val="0"/>
            <w:tcMar>
              <w:top w:w="0" w:type="dxa"/>
              <w:left w:w="28" w:type="dxa"/>
              <w:bottom w:w="0" w:type="dxa"/>
              <w:right w:w="28" w:type="dxa"/>
            </w:tcMar>
            <w:vAlign w:val="center"/>
          </w:tcPr>
          <w:p>
            <w:pPr>
              <w:pStyle w:val="10"/>
              <w:widowControl w:val="0"/>
              <w:spacing w:line="360" w:lineRule="auto"/>
              <w:ind w:left="425" w:hanging="425"/>
              <w:jc w:val="center"/>
              <w:rPr>
                <w:color w:val="000000"/>
                <w:sz w:val="21"/>
                <w:szCs w:val="21"/>
              </w:rPr>
            </w:pPr>
            <w:r>
              <w:rPr>
                <w:rFonts w:hint="eastAsia" w:ascii="仿宋_GB2312" w:eastAsia="仿宋_GB2312"/>
                <w:b/>
                <w:bCs/>
                <w:color w:val="000000"/>
                <w:sz w:val="28"/>
                <w:szCs w:val="28"/>
              </w:rPr>
              <w:t> </w:t>
            </w:r>
          </w:p>
        </w:tc>
      </w:tr>
    </w:tbl>
    <w:p>
      <w:pPr>
        <w:pStyle w:val="10"/>
        <w:rPr>
          <w:color w:val="000000"/>
          <w:sz w:val="21"/>
          <w:szCs w:val="21"/>
        </w:rPr>
      </w:pPr>
      <w:r>
        <w:rPr>
          <w:rFonts w:hint="eastAsia" w:ascii="宋体" w:hAnsi="宋体" w:eastAsia="宋体" w:cs="宋体"/>
          <w:color w:val="000000"/>
          <w:sz w:val="21"/>
          <w:szCs w:val="21"/>
        </w:rPr>
        <w:t>税务机关（签章）</w:t>
      </w:r>
    </w:p>
    <w:p>
      <w:pPr>
        <w:pStyle w:val="8"/>
        <w:rPr>
          <w:color w:val="000000"/>
          <w:szCs w:val="22"/>
        </w:rPr>
      </w:pPr>
      <w:r>
        <w:rPr>
          <w:rFonts w:hint="eastAsia"/>
          <w:color w:val="000000"/>
          <w:szCs w:val="22"/>
        </w:rPr>
        <w:t xml:space="preserve">                                   年   月   日</w:t>
      </w:r>
    </w:p>
    <w:p>
      <w:pPr>
        <w:pStyle w:val="6"/>
        <w:ind w:firstLine="482" w:firstLineChars="200"/>
        <w:rPr>
          <w:rFonts w:hint="eastAsia" w:ascii="宋体" w:hAnsi="宋体" w:eastAsia="宋体"/>
        </w:rPr>
      </w:pPr>
      <w:r>
        <w:rPr>
          <w:rFonts w:hint="eastAsia" w:ascii="宋体" w:hAnsi="宋体" w:eastAsia="宋体"/>
        </w:rPr>
        <w:t>【表单说明】</w:t>
      </w:r>
    </w:p>
    <w:p>
      <w:pPr>
        <w:pStyle w:val="11"/>
        <w:spacing w:line="240" w:lineRule="auto"/>
        <w:ind w:firstLine="420" w:firstLineChars="200"/>
        <w:rPr>
          <w:rFonts w:eastAsia="宋体" w:cs="Times New Roman"/>
          <w:color w:val="000000"/>
          <w:kern w:val="2"/>
          <w:sz w:val="21"/>
        </w:rPr>
      </w:pPr>
      <w:r>
        <w:rPr>
          <w:rFonts w:hint="eastAsia" w:eastAsia="宋体" w:cs="Times New Roman"/>
          <w:color w:val="000000"/>
          <w:kern w:val="2"/>
          <w:sz w:val="21"/>
        </w:rPr>
        <w:t>1.本文书依据《抵税财物拍卖、变卖试行办法》第十一条设置。</w:t>
      </w:r>
    </w:p>
    <w:p>
      <w:pPr>
        <w:pStyle w:val="11"/>
        <w:spacing w:line="240" w:lineRule="auto"/>
        <w:ind w:firstLine="420" w:firstLineChars="200"/>
        <w:rPr>
          <w:rFonts w:eastAsia="宋体" w:cs="Times New Roman"/>
          <w:color w:val="000000"/>
          <w:kern w:val="2"/>
          <w:sz w:val="21"/>
        </w:rPr>
        <w:sectPr>
          <w:pgSz w:w="11906" w:h="16838"/>
          <w:pgMar w:top="1440" w:right="1800" w:bottom="1440" w:left="1800" w:header="851" w:footer="992" w:gutter="0"/>
          <w:cols w:space="425" w:num="1"/>
          <w:docGrid w:type="lines" w:linePitch="312" w:charSpace="0"/>
        </w:sectPr>
      </w:pPr>
      <w:r>
        <w:rPr>
          <w:rFonts w:hint="eastAsia" w:eastAsia="宋体" w:cs="Times New Roman"/>
          <w:color w:val="000000"/>
          <w:kern w:val="2"/>
          <w:sz w:val="21"/>
        </w:rPr>
        <w:t>2.适用范围：抵税财物拍卖、变卖需委托依法设立并具有相应资质的评估鉴定机构进行质量鉴定和价格评估时使用。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27A60"/>
    <w:rsid w:val="39927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customStyle="1" w:styleId="5">
    <w:name w:val="正文_0"/>
    <w:qFormat/>
    <w:uiPriority w:val="0"/>
    <w:rPr>
      <w:rFonts w:ascii="Times New Roman" w:hAnsi="Times New Roman" w:eastAsia="Times New Roman" w:cs="Times New Roman"/>
      <w:sz w:val="24"/>
      <w:szCs w:val="24"/>
      <w:lang w:val="en-US" w:eastAsia="zh-CN" w:bidi="ar-SA"/>
    </w:rPr>
  </w:style>
  <w:style w:type="paragraph" w:customStyle="1" w:styleId="6">
    <w:name w:val="一级标题_0"/>
    <w:basedOn w:val="5"/>
    <w:qFormat/>
    <w:uiPriority w:val="0"/>
    <w:pPr>
      <w:ind w:firstLine="420"/>
      <w:outlineLvl w:val="2"/>
    </w:pPr>
    <w:rPr>
      <w:rFonts w:ascii="Arial" w:hAnsi="Arial" w:cs="Arial"/>
      <w:b/>
    </w:rPr>
  </w:style>
  <w:style w:type="paragraph" w:customStyle="1" w:styleId="7">
    <w:name w:val="二级标题_0"/>
    <w:basedOn w:val="5"/>
    <w:qFormat/>
    <w:uiPriority w:val="0"/>
    <w:pPr>
      <w:ind w:firstLine="420"/>
      <w:outlineLvl w:val="3"/>
    </w:pPr>
    <w:rPr>
      <w:rFonts w:ascii="Arial" w:hAnsi="Arial" w:cs="Arial"/>
    </w:rPr>
  </w:style>
  <w:style w:type="paragraph" w:customStyle="1" w:styleId="8">
    <w:name w:val="需求正文_0"/>
    <w:basedOn w:val="5"/>
    <w:uiPriority w:val="0"/>
    <w:pPr>
      <w:ind w:firstLine="420"/>
    </w:pPr>
    <w:rPr>
      <w:rFonts w:ascii="Arial" w:hAnsi="Arial" w:eastAsia="宋体"/>
      <w:kern w:val="2"/>
      <w:sz w:val="21"/>
    </w:rPr>
  </w:style>
  <w:style w:type="paragraph" w:customStyle="1" w:styleId="9">
    <w:name w:val="a_0"/>
    <w:basedOn w:val="5"/>
    <w:uiPriority w:val="0"/>
    <w:pPr>
      <w:spacing w:line="360" w:lineRule="auto"/>
      <w:jc w:val="center"/>
    </w:pPr>
    <w:rPr>
      <w:rFonts w:ascii="宋体" w:hAnsi="宋体" w:cs="宋体"/>
      <w:b/>
      <w:bCs/>
      <w:sz w:val="28"/>
      <w:szCs w:val="28"/>
    </w:rPr>
  </w:style>
  <w:style w:type="paragraph" w:customStyle="1" w:styleId="10">
    <w:name w:val="正文_0_0_0"/>
    <w:qFormat/>
    <w:uiPriority w:val="0"/>
    <w:rPr>
      <w:rFonts w:ascii="Times New Roman" w:hAnsi="Times New Roman" w:eastAsia="Times New Roman" w:cs="Times New Roman"/>
      <w:kern w:val="2"/>
      <w:sz w:val="24"/>
      <w:szCs w:val="24"/>
      <w:lang w:val="en-US" w:eastAsia="zh-CN" w:bidi="ar-SA"/>
    </w:rPr>
  </w:style>
  <w:style w:type="paragraph" w:customStyle="1" w:styleId="11">
    <w:name w:val="bw1"/>
    <w:basedOn w:val="10"/>
    <w:uiPriority w:val="0"/>
    <w:pPr>
      <w:spacing w:line="360" w:lineRule="atLeast"/>
    </w:pPr>
    <w:rPr>
      <w:rFonts w:ascii="宋体" w:hAnsi="宋体" w:cs="宋体"/>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2019-11-06T03:14:00Z</dcterms:created>
  <dc:creator>陈莉佳</dc:creator>
  <cp:lastModifiedBy>陈莉佳</cp:lastModifiedBy>
  <dcterms:modified xsi:type="dcterms:W3CDTF">2019-11-06T03:15:14Z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